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A47" w:rsidRDefault="002236BD">
      <w:r>
        <w:t xml:space="preserve">                      </w:t>
      </w:r>
    </w:p>
    <w:p w:rsidR="00A80A47" w:rsidRDefault="00A80A47" w:rsidP="00D138D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534025" cy="33337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80A47" w:rsidRDefault="00A80A47"/>
    <w:p w:rsidR="00A80A47" w:rsidRPr="00D138DF" w:rsidRDefault="00A80A47" w:rsidP="00A80A47">
      <w:pPr>
        <w:jc w:val="center"/>
        <w:rPr>
          <w:b/>
          <w:sz w:val="32"/>
        </w:rPr>
      </w:pPr>
      <w:r w:rsidRPr="00D138DF">
        <w:rPr>
          <w:b/>
          <w:sz w:val="32"/>
        </w:rPr>
        <w:t>Общие данные по заболеваемости учащихся</w:t>
      </w:r>
    </w:p>
    <w:p w:rsidR="00A80A47" w:rsidRDefault="00A80A47"/>
    <w:p w:rsidR="00A80A47" w:rsidRDefault="00A80A47" w:rsidP="00D138DF">
      <w:pPr>
        <w:jc w:val="center"/>
      </w:pPr>
    </w:p>
    <w:p w:rsidR="00D138DF" w:rsidRDefault="00057BE3">
      <w:r>
        <w:rPr>
          <w:noProof/>
          <w:lang w:eastAsia="ru-RU"/>
        </w:rPr>
        <w:drawing>
          <wp:inline distT="0" distB="0" distL="0" distR="0">
            <wp:extent cx="5940425" cy="5229225"/>
            <wp:effectExtent l="19050" t="0" r="3175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138DF" w:rsidRDefault="00D138DF"/>
    <w:p w:rsidR="00A80A47" w:rsidRDefault="00A80A47">
      <w:r>
        <w:rPr>
          <w:noProof/>
          <w:lang w:eastAsia="ru-RU"/>
        </w:rPr>
        <w:lastRenderedPageBreak/>
        <w:drawing>
          <wp:inline distT="0" distB="0" distL="0" distR="0">
            <wp:extent cx="5724525" cy="3505200"/>
            <wp:effectExtent l="1905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138DF" w:rsidRDefault="00D138DF">
      <w:r>
        <w:rPr>
          <w:noProof/>
          <w:lang w:eastAsia="ru-RU"/>
        </w:rPr>
        <w:drawing>
          <wp:inline distT="0" distB="0" distL="0" distR="0">
            <wp:extent cx="5876925" cy="4324350"/>
            <wp:effectExtent l="1905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62AAF" w:rsidRDefault="00362AAF"/>
    <w:p w:rsidR="004273C9" w:rsidRPr="004273C9" w:rsidRDefault="004273C9">
      <w:r>
        <w:rPr>
          <w:lang w:val="en-US"/>
        </w:rPr>
        <w:t>I</w:t>
      </w:r>
      <w:r>
        <w:t xml:space="preserve"> – здоровые дети</w:t>
      </w:r>
    </w:p>
    <w:p w:rsidR="004273C9" w:rsidRPr="004273C9" w:rsidRDefault="004273C9">
      <w:r>
        <w:rPr>
          <w:lang w:val="en-US"/>
        </w:rPr>
        <w:t>II</w:t>
      </w:r>
      <w:r>
        <w:t xml:space="preserve"> – незначительные отклонения</w:t>
      </w:r>
    </w:p>
    <w:p w:rsidR="004273C9" w:rsidRPr="004273C9" w:rsidRDefault="004273C9">
      <w:r>
        <w:rPr>
          <w:lang w:val="en-US"/>
        </w:rPr>
        <w:t>III</w:t>
      </w:r>
      <w:r>
        <w:t xml:space="preserve"> – хронические заболевания</w:t>
      </w:r>
    </w:p>
    <w:p w:rsidR="004273C9" w:rsidRPr="004273C9" w:rsidRDefault="004273C9">
      <w:r>
        <w:rPr>
          <w:lang w:val="en-US"/>
        </w:rPr>
        <w:t>IV</w:t>
      </w:r>
      <w:r>
        <w:t xml:space="preserve"> </w:t>
      </w:r>
      <w:r w:rsidR="00703335">
        <w:t>–</w:t>
      </w:r>
      <w:r>
        <w:t xml:space="preserve"> </w:t>
      </w:r>
      <w:r w:rsidR="00703335">
        <w:t>значительные отклонения</w:t>
      </w:r>
    </w:p>
    <w:p w:rsidR="004273C9" w:rsidRDefault="004273C9">
      <w:r>
        <w:rPr>
          <w:lang w:val="en-US"/>
        </w:rPr>
        <w:t>V</w:t>
      </w:r>
      <w:r>
        <w:t xml:space="preserve"> – дети-инвалиды</w:t>
      </w:r>
    </w:p>
    <w:p w:rsidR="00B41030" w:rsidRDefault="00B41030"/>
    <w:p w:rsidR="00703335" w:rsidRPr="00703335" w:rsidRDefault="00B41030">
      <w:pPr>
        <w:rPr>
          <w:b/>
        </w:rPr>
      </w:pPr>
      <w:r w:rsidRPr="00703335">
        <w:rPr>
          <w:b/>
        </w:rPr>
        <w:t xml:space="preserve">Выводы: </w:t>
      </w:r>
    </w:p>
    <w:p w:rsidR="00B41030" w:rsidRPr="004273C9" w:rsidRDefault="00B41030" w:rsidP="00703335">
      <w:r>
        <w:t>Анализ диагностики показывает, что оздоровительная</w:t>
      </w:r>
      <w:r w:rsidR="00703335">
        <w:t xml:space="preserve"> деятельность школы оказывает положительное воздействие на здоровье воспитанников, способствует повышению защитных сил организма. Уровень общего состояния здоровья учащихся стабильный.</w:t>
      </w:r>
    </w:p>
    <w:sectPr w:rsidR="00B41030" w:rsidRPr="004273C9" w:rsidSect="00D138D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0A47"/>
    <w:rsid w:val="00057BE3"/>
    <w:rsid w:val="001E55AD"/>
    <w:rsid w:val="002236BD"/>
    <w:rsid w:val="002E4BCA"/>
    <w:rsid w:val="00362AAF"/>
    <w:rsid w:val="004273C9"/>
    <w:rsid w:val="00546BE1"/>
    <w:rsid w:val="00703335"/>
    <w:rsid w:val="0077212F"/>
    <w:rsid w:val="007A089C"/>
    <w:rsid w:val="00874AEA"/>
    <w:rsid w:val="00981320"/>
    <w:rsid w:val="009E2FEA"/>
    <w:rsid w:val="00A80A47"/>
    <w:rsid w:val="00AD1088"/>
    <w:rsid w:val="00B41030"/>
    <w:rsid w:val="00C81852"/>
    <w:rsid w:val="00D13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0A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A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8"/>
  <c:chart>
    <c:title>
      <c:tx>
        <c:rich>
          <a:bodyPr/>
          <a:lstStyle/>
          <a:p>
            <a:pPr>
              <a:defRPr/>
            </a:pPr>
            <a:r>
              <a:rPr lang="ru-RU"/>
              <a:t>Индекс здоровья учащихся</a:t>
            </a:r>
          </a:p>
        </c:rich>
      </c:tx>
      <c:layout/>
    </c:title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 учащихся 
в школе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402</c:v>
                </c:pt>
                <c:pt idx="1">
                  <c:v>389</c:v>
                </c:pt>
                <c:pt idx="2">
                  <c:v>393</c:v>
                </c:pt>
              </c:numCache>
            </c:numRef>
          </c:val>
        </c:ser>
        <c:shape val="box"/>
        <c:axId val="105329024"/>
        <c:axId val="105330560"/>
        <c:axId val="0"/>
      </c:bar3DChart>
      <c:catAx>
        <c:axId val="105329024"/>
        <c:scaling>
          <c:orientation val="minMax"/>
        </c:scaling>
        <c:axPos val="b"/>
        <c:majorTickMark val="none"/>
        <c:tickLblPos val="nextTo"/>
        <c:crossAx val="105330560"/>
        <c:crosses val="autoZero"/>
        <c:auto val="1"/>
        <c:lblAlgn val="ctr"/>
        <c:lblOffset val="100"/>
      </c:catAx>
      <c:valAx>
        <c:axId val="105330560"/>
        <c:scaling>
          <c:orientation val="minMax"/>
        </c:scaling>
        <c:delete val="1"/>
        <c:axPos val="l"/>
        <c:majorGridlines/>
        <c:numFmt formatCode="General" sourceLinked="1"/>
        <c:majorTickMark val="none"/>
        <c:tickLblPos val="nextTo"/>
        <c:crossAx val="10532902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spPr>
    <a:noFill/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Типы заболеваний</a:t>
            </a:r>
          </a:p>
        </c:rich>
      </c:tx>
      <c:layout/>
    </c:title>
    <c:view3D>
      <c:rAngAx val="1"/>
    </c:view3D>
    <c:plotArea>
      <c:layout>
        <c:manualLayout>
          <c:layoutTarget val="inner"/>
          <c:xMode val="edge"/>
          <c:yMode val="edge"/>
          <c:x val="0.29743343279310824"/>
          <c:y val="0.10498027369220356"/>
          <c:w val="0.68733230366514153"/>
          <c:h val="0.5732153426176919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ОРЗ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7</a:t>
                    </a:r>
                    <a:r>
                      <a:rPr lang="en-US"/>
                      <a:t>,</a:t>
                    </a:r>
                    <a:r>
                      <a:rPr lang="ru-RU"/>
                      <a:t>2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5</a:t>
                    </a:r>
                    <a:r>
                      <a:rPr lang="en-US"/>
                      <a:t>,</a:t>
                    </a:r>
                    <a:r>
                      <a:rPr lang="ru-RU"/>
                      <a:t>6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6.2500000000000064E-3"/>
                  <c:y val="5.77200577200577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numFmt formatCode="0.0%" sourceLinked="0"/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29</c:v>
                </c:pt>
                <c:pt idx="1">
                  <c:v>22</c:v>
                </c:pt>
                <c:pt idx="2">
                  <c:v>15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Грипп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6,2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4,4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3,0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numFmt formatCode="0.0%" sourceLinked="0"/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25</c:v>
                </c:pt>
                <c:pt idx="1">
                  <c:v>17</c:v>
                </c:pt>
                <c:pt idx="2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Нарушение зрения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7,8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7,0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6,3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numFmt formatCode="0.0%" sourceLinked="0"/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32</c:v>
                </c:pt>
                <c:pt idx="1">
                  <c:v>27</c:v>
                </c:pt>
                <c:pt idx="2">
                  <c:v>25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Потология позвоночника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0,5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0,2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numFmt formatCode="0%" sourceLinked="0"/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4</c:v>
                </c:pt>
                <c:pt idx="1">
                  <c:v>1</c:v>
                </c:pt>
                <c:pt idx="2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Потология органов 
пищеварения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2,0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1,5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1,0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numFmt formatCode="0.00%" sourceLinked="0"/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0">
                  <c:v>8</c:v>
                </c:pt>
                <c:pt idx="1">
                  <c:v>6</c:v>
                </c:pt>
                <c:pt idx="2">
                  <c:v>4</c:v>
                </c:pt>
              </c:numCache>
            </c:numRef>
          </c:val>
        </c:ser>
        <c:shape val="box"/>
        <c:axId val="102474880"/>
        <c:axId val="102476416"/>
        <c:axId val="0"/>
      </c:bar3DChart>
      <c:catAx>
        <c:axId val="102474880"/>
        <c:scaling>
          <c:orientation val="minMax"/>
        </c:scaling>
        <c:axPos val="b"/>
        <c:majorTickMark val="none"/>
        <c:tickLblPos val="nextTo"/>
        <c:crossAx val="102476416"/>
        <c:crosses val="autoZero"/>
        <c:auto val="1"/>
        <c:lblAlgn val="ctr"/>
        <c:lblOffset val="100"/>
      </c:catAx>
      <c:valAx>
        <c:axId val="10247641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 b="1" i="0" u="none" strike="noStrike" baseline="0"/>
                  <a:t>Количество больных  </a:t>
                </a:r>
              </a:p>
              <a:p>
                <a:pPr>
                  <a:defRPr/>
                </a:pPr>
                <a:r>
                  <a:rPr lang="ru-RU" sz="1000" b="1" i="0" u="none" strike="noStrike" baseline="0"/>
                  <a:t>по годам челов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16625783756197168"/>
              <c:y val="0.15110142482189745"/>
            </c:manualLayout>
          </c:layout>
        </c:title>
        <c:numFmt formatCode="General" sourceLinked="1"/>
        <c:majorTickMark val="none"/>
        <c:tickLblPos val="nextTo"/>
        <c:crossAx val="10247488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Физическое развитие учащихся</a:t>
            </a:r>
          </a:p>
        </c:rich>
      </c:tx>
      <c:layout/>
    </c:title>
    <c:view3D>
      <c:rAngAx val="1"/>
    </c:view3D>
    <c:plotArea>
      <c:layout>
        <c:manualLayout>
          <c:layoutTarget val="inner"/>
          <c:xMode val="edge"/>
          <c:yMode val="edge"/>
          <c:x val="0.19122045067749632"/>
          <c:y val="0.12909134999429431"/>
          <c:w val="0.78445670164773429"/>
          <c:h val="0.57835273308227753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Высокое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34,0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36</a:t>
                    </a:r>
                    <a:r>
                      <a:rPr lang="en-US"/>
                      <a:t>,</a:t>
                    </a:r>
                    <a:r>
                      <a:rPr lang="ru-RU"/>
                      <a:t>5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36,6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numFmt formatCode="0.0%" sourceLinked="0"/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137</c:v>
                </c:pt>
                <c:pt idx="1">
                  <c:v>142</c:v>
                </c:pt>
                <c:pt idx="2">
                  <c:v>144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Среднее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61</a:t>
                    </a:r>
                    <a:r>
                      <a:rPr lang="en-US"/>
                      <a:t>,0%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60</a:t>
                    </a:r>
                    <a:r>
                      <a:rPr lang="en-US"/>
                      <a:t>,</a:t>
                    </a:r>
                    <a:r>
                      <a:rPr lang="ru-RU"/>
                      <a:t>1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61,5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numFmt formatCode="0.0%" sourceLinked="0"/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247</c:v>
                </c:pt>
                <c:pt idx="1">
                  <c:v>234</c:v>
                </c:pt>
                <c:pt idx="2">
                  <c:v>242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Низкое</c:v>
                </c:pt>
              </c:strCache>
            </c:strRef>
          </c:tx>
          <c:dLbls>
            <c:dLbl>
              <c:idx val="0"/>
              <c:layout>
                <c:manualLayout>
                  <c:x val="2.8745163073521301E-2"/>
                  <c:y val="-1.012658227848102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</a:t>
                    </a:r>
                    <a:r>
                      <a:rPr lang="en-US"/>
                      <a:t>,</a:t>
                    </a:r>
                    <a:r>
                      <a:rPr lang="ru-RU"/>
                      <a:t>5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2.2111663902708599E-2"/>
                  <c:y val="-1.687763713080168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3,4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2.8745163073521301E-2"/>
                  <c:y val="-2.700421940928272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numFmt formatCode="0.0%" sourceLinked="0"/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18</c:v>
                </c:pt>
                <c:pt idx="1">
                  <c:v>13</c:v>
                </c:pt>
                <c:pt idx="2">
                  <c:v>7</c:v>
                </c:pt>
              </c:numCache>
            </c:numRef>
          </c:val>
        </c:ser>
        <c:shape val="box"/>
        <c:axId val="102740352"/>
        <c:axId val="102741888"/>
        <c:axId val="0"/>
      </c:bar3DChart>
      <c:catAx>
        <c:axId val="102740352"/>
        <c:scaling>
          <c:orientation val="minMax"/>
        </c:scaling>
        <c:axPos val="b"/>
        <c:majorTickMark val="none"/>
        <c:tickLblPos val="nextTo"/>
        <c:crossAx val="102741888"/>
        <c:crosses val="autoZero"/>
        <c:auto val="1"/>
        <c:lblAlgn val="ctr"/>
        <c:lblOffset val="100"/>
      </c:catAx>
      <c:valAx>
        <c:axId val="10274188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Учащиеся</a:t>
                </a:r>
              </a:p>
            </c:rich>
          </c:tx>
          <c:layout/>
        </c:title>
        <c:numFmt formatCode="General" sourceLinked="1"/>
        <c:majorTickMark val="none"/>
        <c:tickLblPos val="nextTo"/>
        <c:crossAx val="102740352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970" baseline="0"/>
            </a:pPr>
            <a:endParaRPr lang="ru-RU"/>
          </a:p>
        </c:txPr>
      </c:dTable>
    </c:plotArea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Группы здоровья</a:t>
            </a:r>
          </a:p>
        </c:rich>
      </c:tx>
      <c:layout>
        <c:manualLayout>
          <c:xMode val="edge"/>
          <c:yMode val="edge"/>
          <c:x val="0.34160449554826738"/>
          <c:y val="0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0.12133303636546264"/>
          <c:y val="6.652283002069681E-2"/>
          <c:w val="0.87866698996498971"/>
          <c:h val="0.6137121185842963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I</c:v>
                </c:pt>
              </c:strCache>
            </c:strRef>
          </c:tx>
          <c:dLbls>
            <c:dLbl>
              <c:idx val="0"/>
              <c:layout>
                <c:manualLayout>
                  <c:x val="-8.8740987243483022E-3"/>
                  <c:y val="6.251703852531583E-1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6,21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6,68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8,11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numFmt formatCode="0.00%" sourceLinked="0"/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25</c:v>
                </c:pt>
                <c:pt idx="1">
                  <c:v>26</c:v>
                </c:pt>
                <c:pt idx="2">
                  <c:v>32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II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88,05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89,20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88,20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numFmt formatCode="0.00%" sourceLinked="0"/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354</c:v>
                </c:pt>
                <c:pt idx="1">
                  <c:v>347</c:v>
                </c:pt>
                <c:pt idx="2">
                  <c:v>347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III</c:v>
                </c:pt>
              </c:strCache>
            </c:strRef>
          </c:tx>
          <c:dLbls>
            <c:dLbl>
              <c:idx val="0"/>
              <c:layout>
                <c:manualLayout>
                  <c:x val="1.3311148086522463E-2"/>
                  <c:y val="-6.8201193520886624E-3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4,47</a:t>
                    </a:r>
                    <a:r>
                      <a:rPr lang="en-US" sz="900" baseline="0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6.6555740432612306E-3"/>
                  <c:y val="-1.3640238704177333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3,08</a:t>
                    </a:r>
                    <a:r>
                      <a:rPr lang="en-US" sz="900" baseline="0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1.7748197448696622E-2"/>
                  <c:y val="-1.7050298380221714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2,79</a:t>
                    </a:r>
                    <a:r>
                      <a:rPr lang="en-US" sz="900" baseline="0"/>
                      <a:t>%</a:t>
                    </a:r>
                  </a:p>
                </c:rich>
              </c:tx>
              <c:showVal val="1"/>
            </c:dLbl>
            <c:numFmt formatCode="0.00%" sourceLinked="0"/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18</c:v>
                </c:pt>
                <c:pt idx="1">
                  <c:v>12</c:v>
                </c:pt>
                <c:pt idx="2">
                  <c:v>11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IV</c:v>
                </c:pt>
              </c:strCache>
            </c:strRef>
          </c:tx>
          <c:dLbls>
            <c:dLbl>
              <c:idx val="0"/>
              <c:layout>
                <c:manualLayout>
                  <c:x val="1.5529672767609541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1.1092623405435313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8.8740987243483178E-3"/>
                  <c:y val="-6.820119352088662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0%</a:t>
                    </a:r>
                  </a:p>
                </c:rich>
              </c:tx>
              <c:showVal val="1"/>
            </c:dLbl>
            <c:numFmt formatCode="0.00%" sourceLinked="0"/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V</c:v>
                </c:pt>
              </c:strCache>
            </c:strRef>
          </c:tx>
          <c:dLbls>
            <c:dLbl>
              <c:idx val="0"/>
              <c:layout>
                <c:manualLayout>
                  <c:x val="2.4403771491957851E-2"/>
                  <c:y val="1.705029838022165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1,24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2.2185246810870873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1,02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3.3277870216306189E-2"/>
                  <c:y val="-6.251703852531583E-1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0,70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numFmt formatCode="0.00%" sourceLinked="0"/>
            <c:showVal val="1"/>
          </c:dLbls>
          <c:cat>
            <c:strRef>
              <c:f>Лист1!$A$2:$A$4</c:f>
              <c:strCache>
                <c:ptCount val="3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0">
                  <c:v>5</c:v>
                </c:pt>
                <c:pt idx="1">
                  <c:v>4</c:v>
                </c:pt>
                <c:pt idx="2">
                  <c:v>3</c:v>
                </c:pt>
              </c:numCache>
            </c:numRef>
          </c:val>
        </c:ser>
        <c:shape val="box"/>
        <c:axId val="102802176"/>
        <c:axId val="102803712"/>
        <c:axId val="0"/>
      </c:bar3DChart>
      <c:catAx>
        <c:axId val="102802176"/>
        <c:scaling>
          <c:orientation val="minMax"/>
        </c:scaling>
        <c:axPos val="b"/>
        <c:majorTickMark val="none"/>
        <c:tickLblPos val="nextTo"/>
        <c:crossAx val="102803712"/>
        <c:crosses val="autoZero"/>
        <c:auto val="1"/>
        <c:lblAlgn val="ctr"/>
        <c:lblOffset val="100"/>
        <c:tickLblSkip val="1"/>
      </c:catAx>
      <c:valAx>
        <c:axId val="10280371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Учащиеся</a:t>
                </a:r>
              </a:p>
            </c:rich>
          </c:tx>
          <c:layout/>
        </c:title>
        <c:numFmt formatCode="General" sourceLinked="1"/>
        <c:majorTickMark val="none"/>
        <c:tickLblPos val="nextTo"/>
        <c:crossAx val="102802176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9</cp:revision>
  <dcterms:created xsi:type="dcterms:W3CDTF">2013-10-10T05:07:00Z</dcterms:created>
  <dcterms:modified xsi:type="dcterms:W3CDTF">2014-02-03T06:34:00Z</dcterms:modified>
</cp:coreProperties>
</file>